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52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30"/>
          <w:lang w:eastAsia="pl-PL"/>
        </w:rPr>
        <w:t>PROGRAM WYCHOWAWCZO-PROFILAKTYCZNY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52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30"/>
          <w:lang w:eastAsia="pl-PL"/>
        </w:rPr>
        <w:t>ZESPOŁU SZKOLNO-PRZEDSZKOLNEGO W BACZYNIE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52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30"/>
          <w:lang w:eastAsia="pl-PL"/>
        </w:rPr>
        <w:t>na lata 2022-2023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2060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30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Uchwalony przez Radę Rodziców w porozumieniu z Radą Pedagogiczną w dniu: </w:t>
      </w:r>
      <w:r>
        <w:rPr>
          <w:rFonts w:cs="Times New Roman" w:ascii="Times New Roman" w:hAnsi="Times New Roman"/>
          <w:b/>
          <w:bCs/>
          <w:sz w:val="24"/>
        </w:rPr>
        <w:t>27.09.2022 r.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Zaopiniowany przez Samorząd Uczniowski w dniu: </w:t>
      </w:r>
      <w:r>
        <w:rPr>
          <w:rFonts w:cs="Times New Roman" w:ascii="Times New Roman" w:hAnsi="Times New Roman"/>
          <w:b/>
          <w:bCs/>
          <w:sz w:val="24"/>
        </w:rPr>
        <w:t>13.09.2022 r.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Podstawa prawna:</w:t>
      </w:r>
    </w:p>
    <w:p>
      <w:pPr>
        <w:pStyle w:val="Normal"/>
        <w:spacing w:lineRule="auto" w:line="360"/>
        <w:rPr>
          <w:rFonts w:ascii="Times New Roman" w:hAnsi="Times New Roman" w:cs="Times New Roman"/>
          <w:bCs/>
          <w:sz w:val="24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Cs/>
          <w:sz w:val="24"/>
        </w:rPr>
        <w:t>Ustawa z dnia 14 grudnia 2016r. Prawo oświatowe (tj. Dz. U. z 2019r. poz. 1148 ze zm.).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Ustawa z dnia 26 stycznia 1982 r. Karta Nauczyciela (Dz. U. z 2018 r. poz. 967 i 2245 oraz z 2019 r. poz. 730 i 1287)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Konstytucja Rzeczpospolitej Polskiej art. 48 ust. 1, art. 54 ust. 3-4, art. 70 ust. 1.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Program polityki prorodzinnej państwa z dnia 17.11.1998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Konwencja o Prawach Dziecka, przyjęta przez Zgromadzenie Ogólne Narodów Zjednoczonych z dnia 20 listopada 1989 r. (Dz. U. z 1991 r. Nr 120, poz. 526, z późniejszymi zmianami, art. 33)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21 maja 2001 r. w sprawie ramowych statutów publicznego przedszkola oraz publicznych szkół. (Dz. U. z 2001 r., Nr 61 poz. 624 i Dz. U. z 2002 r. Nr 10, poz. 96 oraz Dz. U. z 2003 r. Nr 146, poz. 1416, z późniejszymi zmianami)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</w:t>
        <w:br/>
        <w:t>z późniejszymi zmianami)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Rady Ministrów z dnia 20 sierpnia 1996 r. w sprawie sposobu organizowania i prowadzenia działalności w zakresie promocji zdrowia psychicznego i zapobiegania zaburzeniom psychicznym (Dz. U. Nr 112, poz. 537)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26 października 1982 r. o wychowaniu w trzeźwości i przeciwdziałaniu alkoholizmowi (Dz. U. Nr 35, poz. 230 i ostatnimi zmianami. z 25 czerwca 2002 r. Dz. U. Nr 84, poz. 763)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Sejmu Rzeczypospolitej Polskiej z dnia 7 maja 1998 r. w sprawie przeciwdziałania i zwalczania zjawisk patologicznych wśród nieletnich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Rezolucja Sejmu Rzeczypospolitej Polskiej z dnia 1 sierpnia 1997 r. w sprawie opracowania rządowego programu zapobiegania i eliminowania zjawiska wykorzystania seksualnego nieletnich (Monitor Polski Nr 50 poz. 476)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i Sportu z dnia 31 stycznia 2003 r. w sprawie szczególnych form działalności wychowawczej</w:t>
        <w:br/>
        <w:t>i zapobiegawczej wśród dzieci i młodzieży zagrożonych uzależnieniem (Dz. U. Nr 26, poz. 226)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19 sierpnia 1994 r. o ochronie zdrowia psychicznego (Dz. U. Nr 111, poz. 535)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9 listopada 1995 r. o ochronie zdrowia przed następstwami używania tytoniu i wyrobów tytoniowych (Dz. U. Nr 10, poz. 55)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26 października 1982 r. o postępowaniu w sprawach nieletnich (Dz.U. z 2010 r. Nr 33, poz. 178, z późniejszymi zmianami)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29 lipca 2005 r. o przeciwdziałaniu przemocy w rodzinie (Dz. U. z 2005 r. Nr 180, poz. 1493, z późniejszymi zmianami)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30 kwietnia 2013 r. w sprawie zasad udzielania i organizacji pomocy psychologiczno-pedagogicznej w publicznych przedszkolach, szkołach i placówkach (Dz. U. z 2013 r., poz. 532)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27 sierpnia 2012  r., ze zmianami z 14 maja 2014 oraz 26 czerwca 2016 w sprawie podstawy programowej wychowania przedszkolnego oraz kształcenia ogólnego w poszczególnych typach szkół (Dz. U. 2012 Nr 0, poz. 977)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24 lipca 2015 r. w sprawie warunków organizowania kształcenia, wychowania i opieki dla dzieci niepełnosprawnych, niedostosowanych społecznie i zagrożonych niedostosowaniem społecznym (Dz. U., poz. 11 13)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Koncepcja Pracy Szkoły oraz Statut Szkoły (ewaluowane na bieżąco zgodnie z rozporządzeniami MEN)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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Szkolny Zestaw Programów Nauczania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30"/>
          <w:lang w:eastAsia="pl-PL"/>
        </w:rPr>
        <w:t>WIZJA SZKOŁY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„</w:t>
      </w: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W naszej społeczności szkolnej promujemy zdrowy styl życia, kształtujemy charaktery i uwrażliwiamy na potrzeby drugiego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człowieka.”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30"/>
          <w:lang w:eastAsia="pl-PL"/>
        </w:rPr>
        <w:t>MISJA SZKOŁY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Dbamy o kultywowanie tradycji, rozwijamy postawy patriotyczne.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Otwieramy się na potrzeby innych i pracujemy w atmosferze pełnej szacunku i tolerancji.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Podejmujemy działania promujące zdrowy styl życia.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Uczymy każdego w zgodzie z jego możliwościami i potrzebami.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Odkrywamy, rozwijamy i promujemy pasje i talenty.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30"/>
          <w:lang w:eastAsia="pl-PL"/>
        </w:rPr>
        <w:t>CECHY NASZEGO ABSOLWENTA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1. Dba o własne zdrowie.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2. Cechuje go: wysoka kultura osobista, szacunek do drugiego człowieka, zaradność, empatia, wrażliwość, kreatywność, umiejętność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radzenia sobie z problemami.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Program wychowawczo – profilaktyczny Zespołu Szkolno – Przedszkolnego w Baczynie to kompleksowy zbiór działań o charakterze wychowawczym oraz profilaktycznym. Tworzony jest w oparciu o diagnozę potrzeb oraz problemów występujących w danej społeczności szkolnej i odpowiada na nie. Wszystkie działania w zakresie profilaktyki są dostosowane do potrzeb rozwojowych uczniów i skierowane do nich, ich rodziców, nauczycieli, a także pracowników szkoły. Podstawową funkcją Programu wychowawczo – profilaktyczny Zespołu Szkolno – Przedszkolnego w Baczynie jest dbałość o ustruktualizowany proces wychowania i zapobiegania zachowaniom ryzykownym wśród dzieci             i młodzieży.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Działalność wychowawczo – profilaktyczna w szkole polega na prowadzeniu działań z zakresu promocji zdrowego stylu życia oraz wspomaganie uczniów w ich rozwoju ukierunkowanym na osiągnięcie pełnej dojrzałości w sferze: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Fizycznej – zdobycie wiedzy i umiejętności, które pozwalają na prowadzenie zdrowego stylu życia i podejmowanie zachowań prozdrowotnych,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Psychicznej – zbudowanie równowagi i harmonii psychicznej, ukształtowanie postaw sprzyjających wzmacnianiu zdrowia własnego oraz innych ludzi, kształtowanie środowiska sprzyjającego rozwojowi zdrowia,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Społecznej – kształtowanie postawy otwartej w życiu społecznym.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30"/>
          <w:lang w:eastAsia="pl-PL"/>
        </w:rPr>
        <w:t>DIAGNOZA ŚRODOWISKA SZKOLNEGO I SYTUACJI WYCHOWAWCZEJ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Każdego roku w naszej placówce oświatowej przeprowadzona jest diagnoza środowiska – jego bieżących potrzeb w zakresie podejmowanych działań wychowawczych i profilaktycznych. Podstawą prowadzonego rozpoznania są: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Spostrzeżenia wychowawców na temat uczniów, z którymi prowadzi zajęcia lekcyjne i wychowawcze,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Wywiady, analiza dokumentów, obserwacje uczniów, które służą wskazaniu obszarów wymagających szczególnego wsparcia,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Badania ankietowe, skierowane do rodziców, uczniów, nauczycieli i pracowników szkoły, dotyczące ich oczekiwań w zakresie realizacji treści wychowawczych i profilaktycznych.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Pracy nad systemem wartości w oparciu o wybrane przez społeczność szkolną priorytetowe wartości, takie jak: uczciwość, tolerancja, szacunek dla siebie i innych ludzi, empatia, patriotyzm, odpowiedzialność, wytrwałość, poczucie własnej wartości, ciekawość poznawcza, kreatywność, przedsiębiorczość, kultura osobista,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Propozycji działań o charakterze wychowawczym i profilaktycznym, których autorami są rodzice, uczniowie, nauczyciele oraz pracownicy szkoły,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Tradycji i świąt związanych z kalendarzem oraz z czczeniem pamięci o patronie szkoły,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Bezpieczeństwo psychiczne i fizyczne dzieci i młodzieży oraz przeciwdziałanie zachowaniom ryzykownym.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30"/>
          <w:lang w:eastAsia="pl-PL"/>
        </w:rPr>
        <w:t>WSPÓŁPRACA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Program wychowawczo – profilaktyczny Zespołu Szkolno – Przedszkolnego w Baczynie jest realizowany w oparciu o współpracę rodziców, uczniów, nauczycieli i pracowników szkoły, a także wsparcie specjalistów zatrudnionych w lokalnych instytucjach pomocowych.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u w:val="single"/>
          <w:lang w:eastAsia="pl-PL"/>
        </w:rPr>
        <w:t>Współpraca z rodzicami jest realizowana poprzez: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zapoznanie rodziców z : zadaniami i zamierzeniami dydaktyczno – wychowawczymi i profilaktycznymi w danej pracy i szkole dotyczącymi zasad oceniania, klasyfikowania i promowania uczniów, organizacja opieki psychologiczno – pedagogicznej oraz harmonogramem zajęć pozalekcyjnych organizowanych przez szkołę,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udział rodziców w podejmowaniu decyzji istotnych dla pracy szkoły,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 xml:space="preserve">organizacje warsztatów i pogadanek na temat problemów wychowawczych i profilaktycznych,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indywidualne spotkania z rodzicami, których celem jest podjęcie z nimi współpracy.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u w:val="single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u w:val="single"/>
          <w:lang w:eastAsia="pl-PL"/>
        </w:rPr>
        <w:t>Rodzice: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Uchwalają w porozumieniu z Radą Pedagogiczną Program wychowawczo – profilaktyczny Zespołu Szkolno – Przedszkolnego            w Baczynie.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Wspierają dziecko we wszystkich sferach jego życia, zapewniając mu poczucie bezpieczeństwa fizycznego oraz psychicznego.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Wspierają wychowawców i nauczycieli w podejmowanych przez nich działaniach, rodzice służą wiedzą, doświadczeniem                     i pomocą.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Aktywnie uczestniczą w życiu szkoły, włączając się w organizację uroczystości, wycieczek i imprez.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Dbają o właściwą formę spędzania czasu wolnego, organizując dziecku czas wolny poza szkołą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u w:val="single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u w:val="single"/>
          <w:lang w:eastAsia="pl-PL"/>
        </w:rPr>
        <w:t>Wychowawcy i nauczyciele: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Opracowują i realizują przy współpracy rodziców  szkolny Program wychowawczo – profilaktyczny, kształcą i wychowują dzieci                  w duchu tolerancji i patriotyzmu,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Prowadzą dokumentację związaną z procesem wychowania i działaniami profilaktycznymi,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Starają się poznać sytuacje rodzinną i osobista ucznia, dążą do rozpoznania potencjału psychospołecznego oraz intelektualnego swoich podopiecznych, dostosowują w praktyce metody, formy pracy oraz wymagania edukacyjne do specyficznych potrzeb ucznia,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Dbają o prawidłową integracje społeczności klasy oraz szkoły,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Wykorzystują potencjał grupy do wspierania jej członków w rozwoju psychospołecznym, promują osiągnięcia klasy i pojedynczych uczniów,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Wspólnie z pedagogiem zabiegają o różne formy pomocy wychowawczej i materialnej dla uczniów,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Wspierają swoją postawą i działaniami pedagogicznymi rozwój psychofizyczny uczniów, ich zdolności i zainteresowania, inspirują do twórczych poszukiwań, aktywności i samodzielności,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Dbają o poczucie bezpieczeństwa psychicznego i fizycznego ucznia w szkole, a w szczególności w zespole klasowym, reagują na wszelkie przejawy nietolerancji, dyskryminacji,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Wspierają rozwój uczniów i proces ich usamodzielniania się,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Wnioskują o objęcie pomocą psychologiczno – pedagogiczną uczniów o specjalnych potrzebach edukacyjnych, udzielają pomocy            w przezwyciężaniu niepowodzeń szkolnych w oparciu o rozpoznane potrzeby uczniów, integrują działania szkoły i rodziców w tym zakresie,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Współdziałają z instytucjami pracującymi na rzecz dziecka lokalnym zapleczem pomocowym, organami ścigania, oraz wymiarem sprawiedliwości.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3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u w:val="single"/>
          <w:lang w:eastAsia="pl-PL"/>
        </w:rPr>
        <w:t>Uczniowie: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Uczestniczą w opiniowaniu dokumentów szkolnych.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Współtworzą społeczność szkolną i aktywnie wykorzystują swoje prawo do samorządności.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Są autorami i współorganizatorami uroczystości szkolnych, wycieczkach oraz imprezach szkolnych.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Dążą do uwewnętrznienia sobie obowiązujących norm, przestrzegają zasad w codziennym życiu, szanują prawa innych członków społeczności szkolnej.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  <w:t>Kierują swoim rozwojem psychospołecznym i intelektualnym, stają się coraz bardziej samodzielni.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30"/>
          <w:lang w:eastAsia="pl-PL"/>
        </w:rPr>
        <w:t>PODSTAWOWE KIERUNKI REALIZACJI POLITYKI OŚWIATOWEJ PAŃSTWA W ROKU SZKOLNYM 2022 – 2023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inherit" w:hAnsi="inherit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inherit" w:hAnsi="inherit"/>
          <w:sz w:val="24"/>
          <w:szCs w:val="24"/>
          <w:lang w:eastAsia="pl-PL"/>
        </w:rPr>
        <w:t>Wspomaganie wychowawczej roli rodziny przez właściwą organizację i realizację zajęć edukacyjnych;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inherit" w:hAnsi="inherit"/>
          <w:sz w:val="24"/>
          <w:szCs w:val="24"/>
          <w:lang w:eastAsia="pl-PL"/>
        </w:rPr>
        <w:t>Wychowanie do życia w rodzinie oraz ochrona i wzmacnianie zdrowia psychicznego dzieci i młodzieży;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36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inherit" w:hAnsi="inherit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30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ANALIZA DOTYCHCZASOWYCH DZIAŁAŃ WYCHOWAWCZYCH I PROFILAKTYCZNYCH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wyniku przeprowadzonej diagnozy wyróżniono następujące wnioski do dalszej pracy: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Organizacja warsztatów profilaktycznych,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Wsparcie emocjonalne dla uczniów i ich rodziców,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Motywowanie uczniów do systematycznej nauki,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Uświadamianie uczniów i rodziców na temat zagrożeń związanych z nadmiernym korzystaniem z komputera, konsoli, telefonu, tabletu, TV, Internetu,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Dbanie przez uczniów o kulturę osobistą i języka,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Organizacja raz w miesiącu na lekcjach wychowawczych warsztatów profilaktycznych i kreatywnych,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Wzmocnienie dyżuru w okolicach toalet,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Prelekcje dla rodziców na temat efektywnego uczenia się,</w:t>
      </w:r>
    </w:p>
    <w:p>
      <w:pPr>
        <w:pStyle w:val="Standard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Udoskonalenie systemu komunikacji i współpracy rodziców z nauczycielami.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Style w:val="Tabela-Siatka"/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4"/>
        <w:gridCol w:w="2824"/>
        <w:gridCol w:w="4688"/>
        <w:gridCol w:w="1243"/>
        <w:gridCol w:w="3361"/>
      </w:tblGrid>
      <w:tr>
        <w:trPr/>
        <w:tc>
          <w:tcPr>
            <w:tcW w:w="2104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Cele ogólne</w:t>
            </w:r>
          </w:p>
        </w:tc>
        <w:tc>
          <w:tcPr>
            <w:tcW w:w="2824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Cele szczegółowe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4688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Sposoby realizacji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Termin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Osoba odpowiedzialna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Kształtowanie poczucia tożsamości narodowej, przynależności do społeczności szkolnej, lokalnej i regionalnej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symbole narodowe, flagę, godło oraz słowa hymnu narodowego,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Rozumie znaczenie symboli narodowych,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okazać należny szacunek dla symboli narodowych, wie w jakiej postawie śpiewa się hymn narodowy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najbliższą okolicę, stolicę i inne polskie miasta,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200"/>
              <w:contextualSpacing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sylwetki słynnych Polaków oraz patrona szkoły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Organizacja i uczestnictwo w uroczystościach o charakterze szkolnym i państwowym, akademii z okazji świąt narodowych:</w:t>
            </w:r>
          </w:p>
          <w:p>
            <w:pPr>
              <w:pStyle w:val="ListParagraph"/>
              <w:widowControl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Rocznica wybuchu II wojny światowej,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-Ślubowanie klasy I,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Ślubowanie Przedszkolaków,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Święto Komisji Edukacji Narodowej,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Wspomnienie o Św. Janie Pawle II,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Święto odzyskania niepodległości,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Rocznica uchwalenia Konstytucji 3 Maja,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Dzień Patrona,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Poranek Wielkanocny,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Wigilia Szkolna – Grupy Kolędnicze,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       3 X             18 X               17 X  17 X  14 XI   V                  8  V     26 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22 XII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A.Dobosz                                    A. Kąkol, M. Gatlik,                   I. Wrzodek                                         K. Kaźmierczak                        M. Głowacz,                               A. Dobosz                                 A. Dobosz, wychowawcy            M. Pająk, wychowawcy             J. Głowacz, K. Kaźmierczak, M. Głowacz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konkursach patriotycznych np. Konkurs Piosenki Patriotycznej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B. Żołnierek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Organizacja uroczystości z udziałem pocztu sztandarowego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Nabycie umiejętności śpiewania hymnu Pieśń Legionów Polskich Józefa Wybickiego podczas zajęć wychowania muzycznego</w:t>
            </w:r>
          </w:p>
          <w:p>
            <w:pPr>
              <w:pStyle w:val="ListParagraph"/>
              <w:widowControl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B. Żołnierek,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Umieszczanie na stronie internetowej szkoły wydarzeń związanych ze świętami szkoły oraz państwowymi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Pająk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Konkurs wiedzy o Patronie szkoły, równe formy współzawodnictwa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 V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Pająk, wychowawcy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Konkurs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y gminne: „Babiogórska szopka regionalna”, „Pająki, podłaźniki, światy”, „Palma wielkanocna” itp.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Organizacja 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-  Dnia Rodziny,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- Dnia Dziecka,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 xml:space="preserve">-  Dnia Babci i Dziadka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 VI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 VI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 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wychowawcy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Trzop, M. Gatlik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kl. I – III i przedszkola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Kształtowanie zachowań prozdrowotnych oraz postawy asertywności, zapobiegające wchodzeniu w zachowania ryzykowne (np. palenie tytoniu, picie alkoholu, przyjmowanie narkotyków, itp.) związane z przyjmowaniem środków psychoaktywnych,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uświadomienie skutków uzależnień od gier komputerowych, telewizji, Internetu, a także dbanie o bezpieczeństwo własne i innych.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zagrożenia związane z niekontrolowanym przyjmowanie środków psychoaktywnych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Rozumie zasadność umiejętnego odmawiania podejmowania zachowań ryzykownych polegających na przyjmowaniu dopalaczy oraz innych środków alternatywnych, w tym lekarstw.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 w jaki sposób przeciwstawić się presji grupy rówieśniczej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zastosować techniki zachowań asertywnych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zasady bezpiecznego funkcjonowania w szkole oraz  na drodze.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Uczenie i przypominanie prawidłowej postawy w czasie nauki i zabawy.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Trzop/ wychowawczy/nauczyciele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Spotkanie ze specjalistami ( pielęgniarka, lekarz itp.)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na temat higieny ciała, jamy ustnej, pracy umysłowej, szkodliwości stosowania używek, udział uczniów we fluoryzacji zębów, przeglądy stanu uzębienia prowadzone przez stomatologa i okresowe badania przeprowadzone przez pielęgniarkę.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Ochman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Przeprowadzenie w szkole Akcji „Tydzień dla profilaktyki chorób zakaźnych”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Przeprowadzenie wśród uczniów pogadanek na temat cyberprzemocy i zagrożeń wynikających z korzystania z komputera.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M. Pająk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Ukazywanie negatywnego wpływu przemocy i wulgaryzmów w środkach masowego przekazu i grach komputerowych na postawy społeczne uczniów.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M. Chorąży, wychowawcy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Uświadomienie rodzicom potrzeby kontrolowania tego, co dziecko czyta, ogląda, w jakie gry komputerowe gra.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Szkolenie „Rodzicielstwo a świat cyfrowy dzieci i młodzieży”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22 IX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M. Głowacz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Program Profilaktyczny DEBATA    (kl. IV-VI)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I okresie roku szkolnego 2022/2023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Dyrektor, M.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Ogólnopolska Kampania Edukacyjna „Zachowaj Trzeźwy Umysł”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Europejski Dzień Bezpiecznego Internetu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M. Pająk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Czyste powietrze wokół nas”  dla Przedszkola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I. Wrzodek, Dyrektor, J. Mirocha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Trzymaj formę” dla Szkoły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W.Trzop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Bieg po zdrowie” dla klasy IV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K. Kaźmierczak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Podstępne WZW” dla klasy VIII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J.Głowacz, B. Szczerba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Znamię ! Znam je !” dla klasy VIII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Chorąży, B. Szczerba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Program „Szkoła Promująca Zdrowie”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B. Szczerba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Śniadanie na medal – Mistrz Zdrowego Śniadania”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M.Głowacz, nauczyciele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Zorganizowanie spotkania z okazji „Dnia bez papierosa”.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M. Głowacz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Zorganizowanie Światowego Dnia Rzucania Palenia.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B.Szczerba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apelu z Okazji Światowego Dnia Zdrowia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M.Chorąży, B.Szczerba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Zorganizowanie warsztatów na temat udzielania pomocy przedmedycznej.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Chorąży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Zapoznanie z regulaminami obowiązującymi na terenie szkoły, w tym na sali gimnastycznej, na boisku szkolnym, w bibliotece, na wycieczkach szkolnych itp.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Zapoznanie z planem ewakuacji szkoły i z zachowaniem na wypadek ataku terrorystycznego.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Chorąży,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Próbna ewakuacja uczniów.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Zakupienie i wręczenie uczniom klasy I światełek i kamizelek odblaskowych.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Przeprowadzenie ćwiczeń praktycznych na drodze dla uczniów klas I – III.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IX, V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klas I-III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konkursach plastycznych „Bezpiecznie na drodze”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klas I-III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Prelekcje dla klas I-III: bezpieczeństwo w drodze do  i ze szkoły – spotkanie z policjantem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IX, V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klas I-III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Bezpieczne ferie zimowe, wakacje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 VI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Przeprowadzenie ankiet wśród uczniów na temat zagrożeń, z jakimi dzieci spotykają się w szkole.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klas I-III,  M. Głowacz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Udział w konkursie BRD.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Trzop,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Programie „ Akademia Bezpiecznego Puchatka”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A.Kąkol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Kształtowanie umiejętności komunikowania się z rówieśnikami oraz dorosłymi w sytuacjach trudnych i konfliktowych.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sposoby akceptowanego sposobu wyrażania swoich uczuć i emocji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Wie, jak konstruktywnie rozwiązywać sytuacje sporne i konfliktowe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nazywać emocje, które towarzyszą mu podczas sytuacji trudnych i konfliktowych</w:t>
            </w:r>
          </w:p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Wie, gdzie szukać pomocy w sytuacjach trudnych, konfliktowych, kryzysowych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zajęciach  programów alternatyw, kołach sportowych, teatralnym, wolontariacie i świetlicy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Wypracowanie reguł pracy w zespole – kontrakty klasowe.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Pogadanki w czasie zajęć z wychowawcą na temat kultury słowa, a szczególności wulgaryzmów.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M.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Kampania „Idą święta – nie o smsie, lecz o kartce pamiętaj.”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Pogadanki na zajęciach z wychowawcą na temat współdziałania uczniów z osobami niepełnosprawnymi, w podeszłym wieku, samotnymi i potrzebującymi.</w:t>
            </w:r>
          </w:p>
          <w:p>
            <w:pPr>
              <w:pStyle w:val="Normal"/>
              <w:widowControl/>
              <w:spacing w:lineRule="auto" w:line="36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Dzień Niepełnosprawności</w:t>
            </w:r>
          </w:p>
          <w:p>
            <w:pPr>
              <w:pStyle w:val="Normal"/>
              <w:widowControl/>
              <w:spacing w:lineRule="auto" w:line="36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„Każdy inny, wszyscy równi” (Dzień Zespołu Downa, Dzień Autyzmu)</w:t>
            </w:r>
          </w:p>
          <w:p>
            <w:pPr>
              <w:pStyle w:val="Normal"/>
              <w:widowControl/>
              <w:spacing w:lineRule="auto" w:line="36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Dzień Osób Nieśmiałych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A. Dobosz, M. Głowacz, I.Wrzodek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Wolontariusze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Wolontariusze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Wolontariusze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Pogadanki na temat kultury osobistej i kultury języka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pedagog szkolny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poświęcone świadomemu wyrażaniu emocji w ramach warsztatów z pedagogiem szkolnym, psychologiem szkolnym, pedagogiem specjalnym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Pedagog szkolny, psycholog szkolny, pedagog specjalny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Prowadzenie zindywidualizowanych</w:t>
              <w:br/>
              <w:t>i indywidualnych zajęć z dziećmi mającymi deficyty rozwojowe.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A.Kąkol, I.Wrzodek, K. Kaźmierczak, J. Głowacz, M. Głowacz, wychowawcy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Rozmowy z rodzicami – uświadomienie konieczności prowadzenia badań w PPP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Wychowawcy. M. Głowacz, I.Wrzodek, A.Kąkol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Konsultacje indywidualne dla rodziców, współpraca z instytucjami wspierającymi rodzinę – GOPS, Policja, PPP, OSP, Gminna Komisja ds. uzależnień, ośrodek zdrowia, kurator sądowy.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 M. Głowacz, I.Wrzodek, Dyrektor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Poradnictwo dla rodziców w sprawie metod postępowania z uczniem mającym trudności w nauce, zachowaniu.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 M. Głowacz, I.Wrzodek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Przypomnienie zasad korzystania z telefonów komórkowych na terenie szkoły i poza nią.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 M. Głowacz,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Udział uczniów w kampanii wyborczej do samorządu uczniowskiego.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K. Kaźmierczak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Projekt Ogólnopolski Emotkowe Pożeracze Smutków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Pająk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Uniwersytet Dzieci w Klasie - Projekt edukacyjny „Lekcje z emocjami. Jak dbać o swój nastrój?”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Dzień Uśmiechu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Dzień Życzliwości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Ogólnopolski Dzień Praw Dziecka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I.Wrzodek, A.Dobosz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Dzień Pozytywnego Myślenia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Dzień Dobrych uczynków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Dzień Przyjaciela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Organizacja czasu wolnego oraz kreowanie zdrowego stylu życia w oparciu o programy alternatyw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 jak można kreatywnie spędzać czas wolny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dopasować sposób spędzania wolnego czasu do swoich zainteresowań,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Rozumie wpływ zdrowego stylu życia na kondycję fizyczną i psychiczną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Spędza czas wolny w sposób aktywny i kontrolowany, nabywając umiejętności prozdrowotnych i integrując się z pozytywną grupą rówieśniczą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Organizowanie zajęć w ramach kół zainteresowań: sportowym, wolontariacie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Trzop, M. Głowacz, A. Dobosz, nauczyciele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 BGK „Sport na start”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Centrum Mistrzostwa Informatycznego dla klas IV – VI</w:t>
            </w:r>
          </w:p>
          <w:p>
            <w:pPr>
              <w:pStyle w:val="ListParagraph"/>
              <w:widowControl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grant projektowy,</w:t>
            </w:r>
          </w:p>
          <w:p>
            <w:pPr>
              <w:pStyle w:val="ListParagraph"/>
              <w:widowControl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grant algorytmiczny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Pająk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Organizowanie zajęć w terenie: wycieczek pieszych i wyjazdowych,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Przygotowanie i przeprowadzenie egzaminu na kartę rowerową.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 – VI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Trzop, A.Liszka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Nauka programowania na edukacji informatycznej, zajęciach komputerowych i informatyce.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klas I – III, M. Pająk,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świetlicowe „Robotyka”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 raz w tygodniu (w ciągu roku)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Pająk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Innowacja „Czytam z klasą.  Lekturki spod chmurki”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Kąkol,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Innowacja „ Zwiedzamy Lekturowo”- kl.IV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Innowacja „Grywalizacja na języku polskim z wykorzystaniem narzędzi TIK”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K.Kaźmierczak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Projekty w ramach Uniwersytetu Dzieci m.in.: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„Matematyka – kto w pracy liczy, mierzy i waży?”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„Kreatywne prace plastyczne”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„Z darami natury świat nie jest ponury”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Nauczyciele, A. Kąkol, M. Gatlik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Przeprowadzenie konkursu o „Pióro Dyrektora”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K. Kaźmierczak,    J. Głowacz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Szkolny Konkurs Kaligrafii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klas I-III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konkursach organizowanych przez bibliotekę.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Learning English with WIWESCO Organization – Native speaker w mojej szkole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 „Eko Baczyniacy mówią po angielsku”</w:t>
            </w:r>
          </w:p>
        </w:tc>
        <w:tc>
          <w:tcPr>
            <w:tcW w:w="1243" w:type="dxa"/>
            <w:tcBorders/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 – XII 2023r.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Udział w 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Andrzejkach,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Dzień Wolontariatu,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Mikołajkach,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Zabawie Karnawałowej,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Dniu Dziecka – Dzień Sportu,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Dniu Rodziny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„ Pokaz talentów”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Światowy Dzień Kreatywności i Innowacji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21 XI  21 XI          6 XII 16 II               1 VI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 VI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A. Dobosz M. Głowacz, A. Dobosz                        Nauczyciele                                        M. Głowacz                             W. Trzop, M.Gatlik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J.Mirocha,wychowawcy                                      J. Głowacz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I.Wrzodek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Organizacja akcji przez Szkolne Koło Wolontariatu:</w:t>
            </w:r>
          </w:p>
          <w:p>
            <w:pPr>
              <w:pStyle w:val="ListParagraph"/>
              <w:widowControl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m.in.: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 Szkoło pomóż i Ty”,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„Kredkobranie”,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 Zakręcone zakrętki 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 Pomagamy Dzieciom w Dożywianiu” – Pajacyk ( klej Amos),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„Góra Grosza”,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„Świąteczna Paczka”,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 Pączek dla Afryki”,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Akcja „Dbam o Grób Nieznanego Żołnierza w Baczynie”,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 I inne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A. Dobosz,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Kształtowanie u uczniów postawy zdrowego stylu życia, zapobiegające zaburzeniom odżywiania.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 jak zdrowo się odżywiać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skomponować zdrowy posiłek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Rozumie w jaki sposób zachować zdrowy wygląd, przestrzegając zasad dietetyki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Uczestniczy w zajęciach pozwalających na zdrowy i wysportowany wygląd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Uczenie i przypominanie prawidłowej postawy w czasie nauki i zabawy.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Akcje informacyjne w postaci ulotek z Sanepidu, gazetek, plakatów, informacji na stronie internetowej szkoły.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Uczenie i przyjmowanie prawidłowej postawy wobec zagrożeń wynikających z pandemii COVID- 19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Intendentka, Dyrektor, wychowawcy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Promowanie zdrowej żywności na stołówce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Dyrektor, J. Mirocha, Intendentka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Program „ Szkoła Promująca Zdrowie”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Koordynator: J. Mirocha, wszyscy pracownicy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Udział w akcjach „Szklanka mleka dla ucznia” oraz „Owoce i warzywa w szkole” uczniów klas I-III.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Szkolne konkursy prozdrowotne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M. Głowacz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Uwewnętrzniane postaw proekologicznych szacunku dla przyrody</w:t>
            </w:r>
          </w:p>
          <w:p>
            <w:pPr>
              <w:pStyle w:val="ListParagraph"/>
              <w:widowControl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Rozumie dlaczego dbałość o przyrodę jest ważna również dla istnienia człowieka,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korzystać z uroków przyrody, dbając o jej piękno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 jakie podejmować działania, aby chronić otaczającą przyrodę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Dokarmianie ptaków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XII- 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A. Dobosz,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Przeprowadzenie zbiórki zakrętek (akcja charytatywna)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Zbiórka zużytych tubek po kleju Amos (akcja charytatywna)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A. Dobosz,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Nawiązanie współpracy z instytucjami wspomagającymi działania ekologiczne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Chorąży, J. Mirocha, B.Szczerba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Spotkania z przedstawicielami Policji i Straży Pożarnej:</w:t>
            </w:r>
          </w:p>
          <w:p>
            <w:pPr>
              <w:pStyle w:val="ListParagraph"/>
              <w:widowControl/>
              <w:spacing w:lineRule="auto" w:line="360" w:before="0" w:after="200"/>
              <w:ind w:left="33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- udział w konkursie „Młodzież zapobiega pożarom”</w:t>
            </w:r>
          </w:p>
          <w:p>
            <w:pPr>
              <w:pStyle w:val="ListParagraph"/>
              <w:widowControl/>
              <w:spacing w:lineRule="auto" w:line="360" w:before="0" w:after="200"/>
              <w:ind w:left="33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- ćwiczenia w rozpoznawaniu sygnałów alarmowych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- omawianie prawdziwych sytuacji kontaktu z przedmiotami niebezpiecznymi (skutki postępowania).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Liszka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Wyjazd do Nadleśnictwa w Suchej Beskidzkiej, Babiogórskiego Parku Narodowego w Zawoi i Oczyszczalni Ścieków w Suchej Beskidzkiej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J.Mirocha, M.Chorąży, B.Szczerba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Przygotowanie apeli i przeprowadzenie konkursów na temat zdrowia, bezpieczeństwa i ochrony środowiska.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Chorąży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Pogadanki w okresie największego zainteresowania młodzieży artykułami pirotechnicznymi ( Święta Bożego Narodzenia, Nowy Rok)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XII – 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W. Trzop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Dzień Ziemi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22 IV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Chorąży, B. Szczerba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Kształtowanie u uczniów umiejętności koniecznych do przedstawiania swoich oczekiwań w sposób pozbawiony agresji.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Rozumie, że są inne sposoby niż realizacja swoich potrzeb poprzez zachowania przemocowe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 w jaki sposób zapanować nad trudnymi emocjami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Zna konsekwencje, jakie będzie musiał ponieść w sytuacji używania przemocy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realizować swoje potrzeby bez użycia agresji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Ukazanie zależności między agresją</w:t>
              <w:br/>
              <w:t>i nadpobudliwością dzieci a niektórymi programami TV i grami komputerowymi.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M. Głowacz, M. Chorąży, M. Pająk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Spotkania i pogadanki z psychologiem, pedagogiem na temat agresji.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M.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Spotkania z rodzicami w celu uświadomienia im potrzeby kontrolowania tego co dziecko czyta, ogląda i w jakie gry komputerowe gra.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Wychowawcy,  M.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Zorganizowanie teatrzyku Profilaktycznego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Ogólnopolski projekt dla szkół podstawowych i ponadpodstawowych EMP@TYCZNA KLASA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Mirocha, M. Głowacz,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Szkoleniowa Rada Pedagogiczna „Wspieranie zdrowia psychicznego uczniów w praktyce szkolnej – lęk w sytuacji kryzysu”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Międzynarodowy Dzień Praw Dziecka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</w:t>
            </w:r>
          </w:p>
        </w:tc>
      </w:tr>
      <w:tr>
        <w:trPr/>
        <w:tc>
          <w:tcPr>
            <w:tcW w:w="210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Kształtowanie działań w zakresie doradztwa zawodowego.</w:t>
            </w:r>
          </w:p>
        </w:tc>
        <w:tc>
          <w:tcPr>
            <w:tcW w:w="28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Wie, czym charakteryzuje się dany zawód</w:t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Orientacja zawodowa – klasy I-III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 i nauczyciele klas I – III</w:t>
            </w:r>
          </w:p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Orientacja zawodowa – klasy IV-VI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 i nauczyciele klas IV – VI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Działania w zakresie doradztwa zawodowego – klasy VII-VIII</w:t>
            </w:r>
          </w:p>
          <w:p>
            <w:pPr>
              <w:pStyle w:val="ListParagraph"/>
              <w:widowControl/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 i nauczyciele klas VII – VIII, doradca zawodowy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Szkolna Kasa Oszczędności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J. Głowacz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Udział w Festiwalach Zawodów oraz dniach otwartych w szkołach ponadpodstawowych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ciągu roku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M. Głowacz, wychowawcy</w:t>
            </w:r>
          </w:p>
        </w:tc>
      </w:tr>
      <w:tr>
        <w:trPr/>
        <w:tc>
          <w:tcPr>
            <w:tcW w:w="210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4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8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360"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Zapoznanie uczniów klasy VIII z ofertą szkół ponadpodstawowych na terenie powiatu suskiego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 - VI</w:t>
            </w:r>
          </w:p>
        </w:tc>
        <w:tc>
          <w:tcPr>
            <w:tcW w:w="3361" w:type="dxa"/>
            <w:tcBorders/>
          </w:tcPr>
          <w:p>
            <w:pPr>
              <w:pStyle w:val="Normal"/>
              <w:widowControl/>
              <w:spacing w:lineRule="auto" w:line="36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Wychowawca, doradca zawodowy</w:t>
            </w:r>
          </w:p>
        </w:tc>
      </w:tr>
    </w:tbl>
    <w:p>
      <w:pPr>
        <w:pStyle w:val="Normal"/>
        <w:tabs>
          <w:tab w:val="clear" w:pos="708"/>
          <w:tab w:val="left" w:pos="3273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EWALUACJA PROGRAMU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Do ewaluacji efektywności działań prowadzonych w ramach Programu Wychowawczo – Profilaktycznego mogą posłużyć: obserwacje, wywiady, ankiety, analiza dokumentacji szkolnej.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spacing w:lineRule="auto" w:line="36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 xml:space="preserve">Grupa badawcza powinna być zróżnicowana i obejmować jak najwięcej różnych środowisk należących do społeczności szkolnej ( uczniów, nauczycieli, pracowników szkoły, rodziców). Dobierając osoby do badania, należy pamiętać, że grupa badawcza musi składać się z osób, do których możemy dotrzeć. Aby była ona reprezentatywna, powinna liczyć nie mniej niż 30 % populacji ( zbyt liczna może przekraczać nasze możliwości techniczne przeprowadzenia badania oraz analizy zebranych danych). Wnioski wyciągnięte z 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badania powinny przekładać się na konkretne podejmowane w następnym roku szkolnym działania.</w:t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3381809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28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955fa"/>
    <w:rPr/>
  </w:style>
  <w:style w:type="character" w:styleId="StopkaZnak" w:customStyle="1">
    <w:name w:val="Stopka Znak"/>
    <w:basedOn w:val="DefaultParagraphFont"/>
    <w:uiPriority w:val="99"/>
    <w:qFormat/>
    <w:rsid w:val="00b955f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4285"/>
    <w:pPr>
      <w:spacing w:lineRule="auto" w:line="276" w:before="0" w:after="200"/>
      <w:ind w:left="720" w:hanging="0"/>
      <w:contextualSpacing/>
    </w:pPr>
    <w:rPr/>
  </w:style>
  <w:style w:type="paragraph" w:styleId="Dt" w:customStyle="1">
    <w:name w:val="dt"/>
    <w:basedOn w:val="Normal"/>
    <w:qFormat/>
    <w:rsid w:val="003e42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3e4285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Spacing">
    <w:name w:val="No Spacing"/>
    <w:uiPriority w:val="1"/>
    <w:qFormat/>
    <w:rsid w:val="000925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a1385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955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55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d20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LibreOffice/7.4.0.3$Windows_X86_64 LibreOffice_project/f85e47c08ddd19c015c0114a68350214f7066f5a</Application>
  <AppVersion>15.0000</AppVersion>
  <Pages>29</Pages>
  <Words>4153</Words>
  <Characters>25188</Characters>
  <CharactersWithSpaces>29538</CharactersWithSpaces>
  <Paragraphs>533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2022-09-01T09:42:00Z</dcterms:created>
  <dc:creator>Lenovo</dc:creator>
  <dc:description/>
  <dc:language>pl-PL</dc:language>
  <cp:lastModifiedBy/>
  <dcterms:modified xsi:type="dcterms:W3CDTF">2022-10-19T09:28:08Z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