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Wymagania edukacyjne z chemii dla klasy ósmej szkoły podstawowej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Kwasy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50.0" w:type="dxa"/>
        <w:jc w:val="left"/>
        <w:tblInd w:w="-40.0" w:type="dxa"/>
        <w:tblLayout w:type="fixed"/>
        <w:tblLook w:val="0000"/>
      </w:tblPr>
      <w:tblGrid>
        <w:gridCol w:w="3005"/>
        <w:gridCol w:w="3005"/>
        <w:gridCol w:w="3005"/>
        <w:gridCol w:w="3005"/>
        <w:gridCol w:w="3030"/>
        <w:tblGridChange w:id="0">
          <w:tblGrid>
            <w:gridCol w:w="3005"/>
            <w:gridCol w:w="3005"/>
            <w:gridCol w:w="3005"/>
            <w:gridCol w:w="3005"/>
            <w:gridCol w:w="3030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zasady bhp dotyczące obchodzenia się z kwasami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zalicza kwasy do elektrolitów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różnice w budowie kwasów beztlenowych i kwasów tlenowych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-30" w:right="3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 sumaryczne i nazwy kwasów: HCl,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S,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HNO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wyznacza wartościowość reszty kwasowej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co to jest tlenek kwasowy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rodzaje odczynu roztworu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poznane wskaźniki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zakres pH i barwy wskaźników dla poszczególnych odczynów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udowadnia, dlaczego w nazwie danego kwasu pojawia się wartościowość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metody otrzymywania kwasów tlenowych i kwasów beztlenowych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poznanych kwasów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przykłady tlenków kwasowych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wybrane równania reakcji dysocjacji elektrolitycznej kwasów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posługuje się skalą pH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bada odczyn i pH roztworu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wskazanego kwasu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podczas pracy ze stężonymi roztworami kwasów należy zachować szczególną ostrożność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poznane tlenki kwasowe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zasadę bezpiecznego rozcieńczania stężonego roztworu kwasu siarkowego(VI)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i odczytuje równania reakcji dysocjacji elektrolitycznej w formie stopniowej dla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S,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interpretuje wartość pH w ujęciu jakościowym (odczyny: kwasowy, zasadowy, obojętny)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doświadczenie, które pozwala zbadać pH produktów występujących w życiu codziennym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nazywa dowolny kwas tlenowy (określenie wartościowości pierwiastków chemicznych, uwzględnienie ich w nazwie)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i przeprowadza doświadczenia, w których wyniku można otrzymać kwasy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równania reakcji chemicznych</w:t>
              <w:br w:type="textWrapping"/>
              <w:t xml:space="preserve">opisuje reakcję ksantoproteinową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 prezentuje informacje o powstawaniu i skutkach kwaśnych opadów oraz o sposobach ograniczających ich powstawanie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 prezentuje informacje o właściwościach i wynikających z nich zastosowań niektórych  kwasów, np. HCl,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jc w:val="left"/>
        <w:tblLayout w:type="fixed"/>
        <w:tblLook w:val="0000"/>
      </w:tblPr>
      <w:tblGrid>
        <w:gridCol w:w="14570"/>
        <w:tblGridChange w:id="0">
          <w:tblGrid>
            <w:gridCol w:w="14570"/>
          </w:tblGrid>
        </w:tblGridChange>
      </w:tblGrid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Sole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50.0" w:type="dxa"/>
        <w:jc w:val="left"/>
        <w:tblInd w:w="-40.0" w:type="dxa"/>
        <w:tblLayout w:type="fixed"/>
        <w:tblLook w:val="0000"/>
      </w:tblPr>
      <w:tblGrid>
        <w:gridCol w:w="3005"/>
        <w:gridCol w:w="3005"/>
        <w:gridCol w:w="3005"/>
        <w:gridCol w:w="3005"/>
        <w:gridCol w:w="3030"/>
        <w:tblGridChange w:id="0">
          <w:tblGrid>
            <w:gridCol w:w="3005"/>
            <w:gridCol w:w="3005"/>
            <w:gridCol w:w="3005"/>
            <w:gridCol w:w="3005"/>
            <w:gridCol w:w="3030"/>
          </w:tblGrid>
        </w:tblGridChange>
      </w:tblGrid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i zapisuje wzory sumaryczne soli (np. chlorków, siarczków)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metal i resztę kwasową we wzorze soli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nazwy soli na podstawie wzorów sumarycznych (proste przykłady)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wzory soli wśród wzorów różnych związków chemicznych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dysocjacja elektrolityczna (jonowa) soli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ustala rozpuszczalność soli w wodzie na podstawie tabeli rozpuszczalności soli i wodorotlenków w wodzie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jonów powstałych w wyniku dysocjacji elektrolitycznej soli (proste przykłady)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 otrzymywania soli trzema podstawowymi metodami (kwas + wodorotlenek, metal + kwas, tlenek metalu + kwas)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reakcja zobojętniania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reakcja strąceniowa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odróżnia zapis cząsteczkowy od zapisu jonowego równania reakcji chemicznej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cztery najważniejsze sposoby otrzymywania soli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i wzory soli (typowe przykłady)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zobojętniania w formach: cząsteczkowej, jonowej oraz jonowej skróconej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 tabeli rozpuszczalności soli i wodorotlenków w wodzie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i odczytuje wybrane równania reakcji dysocjacji elektrolitycznej soli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dzieli metale ze względu na ich aktywność chemiczną (szereg aktywności chemicznej metali)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obserwacje z doświadczeń przeprowadzanych na lekcji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i zapisuje nazwy i wzory soli: chlorków, siarczków, azotanów(V), siarczanów(IV), siarczanów(VI), węglanów, fosforanów(V) (ortofosforanów(V))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i odczytuje równania dysocjacji elektrolitycznej soli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przebieg reakcji zobojętniania i reakcji strąceniowej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soli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ustala, korzystając z szeregu aktywności metali, które metale reagują z kwasami według schematu: metal + kwas 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sól + wodór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i przeprowadza reakcję zobojętniania (HCl + NaOH)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odpowiednie równania reakcji w formie cząsteczkowej i jonowej (reakcje otrzymywania substancji średnio i trudno rozpuszczalnych w reakcjach strąceniowych)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soli występujących w przyrodzie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-15" w:right="45" w:hanging="15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metody otrzymywania soli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i odczytuje równania reakcji otrzymywania dowolnej soli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jakie zmiany zaszły w odczynie roztworów poddanych reakcji zobojętniania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przewiduje wynik reakcji strąceniowej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identyfikuje sole na podstawie podanych informacji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i przeprowadza doświadczenia dotyczące otrzymywania soli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zaprojektowane doświadczenia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 prezentuje informacje o zastosowaniach najważniejszych soli: chlorków, węglanów, azotanów(V), siarczanów(VI) i fosforanów(V) (ortofosforanów(V)).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Związki węgla z wodorem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7" w:before="0" w:line="240" w:lineRule="auto"/>
        <w:ind w:left="-1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050.0" w:type="dxa"/>
        <w:jc w:val="center"/>
        <w:tblLayout w:type="fixed"/>
        <w:tblLook w:val="0000"/>
      </w:tblPr>
      <w:tblGrid>
        <w:gridCol w:w="3005"/>
        <w:gridCol w:w="3005"/>
        <w:gridCol w:w="3005"/>
        <w:gridCol w:w="3005"/>
        <w:gridCol w:w="3030"/>
        <w:tblGridChange w:id="0">
          <w:tblGrid>
            <w:gridCol w:w="3005"/>
            <w:gridCol w:w="3005"/>
            <w:gridCol w:w="3005"/>
            <w:gridCol w:w="3005"/>
            <w:gridCol w:w="3030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8"/>
              </w:tabs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-181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1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związki organiczne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związków chemicznych zawierających węgiel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zasady BHP w pracy z tlenkiem węgla(II)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węglowodory,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szereg homologiczny,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węglowodory nasycone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węglowodory nienasycone, alkany, alkeny, alkiny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 sumaryczne: alkanów, alkenów i alkinów o podanej liczbie atomów węgla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odaje nazwy systematyczne alkanów (do czterech atomów węgla w cząsteczce)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wzory ogólne: alkanów, alkenów i alkinów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zasady tworzenia nazw alkenów i alkinów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przyporządkowuje dany węglowodór do odpowiedniego szeregu homologicznego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polegają spalanie całkowite i spalanie niecałkowite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wzory sumaryczne i strukturalne etenu i etynu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najważniejsze właściwości etenu i etynu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polimeryzacja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monomer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wpływ węglowodorów nasyconych i węglowodorów nienasyconych na wodę bromową (lub roztwór manganianu(VII) potasu)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nazwy alkenów i alkinów na podstawie nazw odpowiednich alkanów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wzory: sumaryczne, strukturalne i półstrukturalne (grupowe); podaje nazwy: alkanów, alkenów i alkinów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właściwości fizyczne i chemiczne (spalanie) alkanów (metanu, etanu) oraz etenu i etynu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i odczytuje równania reakcji spalania metanu, etanu, przy ograniczonym i nieograniczonym dostępie tlenu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równania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reakcji spalania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etenu i etynu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budowę etenu i etynu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jak można doświadczalnie odróżnić węglowodory nasycone od węglowodorów nienasyconych, np. metan od etenu czy etynu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od czego zależą właściwości węglowodorów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wzory ogólne alkanów, alkenów, alkinów (na podstawie wzorów kolejnych związków chemicznych w danym szeregu homologicznym)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proponuje sposób doświadczalnego wykrycia produktów spalania węglowodorów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spalania alkanów przy ograniczonym i nieograniczonym dostępie tlenu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spalania etenu i etynu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etynu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podane równania reakcji chemicznej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etenu i etynu z bromem, polimeryzacji etenu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rolę katalizatora w reakcji chemicznej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zależność między długością łańcucha węglowego a właściwościami fizycznymi alkanów (np. stanem skupienia, lotnością, palnością, gęstością, temperaturą topnienia i wrzenia)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co jest przyczyną większej reaktywności węglowodorów nienasyconych w porównaniu z węglowodorami nasyconymi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doświadczenie chemiczne umożliwiające odróżnienie węglowodorów nasyconych od węglowodorów nienasyconych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właściwości węglowodorów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wpływ wiązania wielokrotnego w cząsteczce węglowodoru na jego reaktywność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przyłączania (np. bromowodoru, wodoru, chloru) do węglowodorów zawierających wiązanie wielokrotne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znaczenie węglowodorów w życiu codziennym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 i prezentuje informacje o naturalnych źródłach węglowodorów oraz o produktach destylacji ropy naftowej i ich zastosowaniach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informacje na temat zastosowań alkanów, etenu i etynu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 i prezentuje informacje o właściwościach i zastosowaniu polietylenu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Pochodne węglowodorów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7" w:before="0" w:line="240" w:lineRule="auto"/>
        <w:ind w:left="-1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050.0" w:type="dxa"/>
        <w:jc w:val="center"/>
        <w:tblLayout w:type="fixed"/>
        <w:tblLook w:val="0000"/>
      </w:tblPr>
      <w:tblGrid>
        <w:gridCol w:w="3005"/>
        <w:gridCol w:w="3005"/>
        <w:gridCol w:w="3005"/>
        <w:gridCol w:w="3005"/>
        <w:gridCol w:w="3030"/>
        <w:tblGridChange w:id="0">
          <w:tblGrid>
            <w:gridCol w:w="3005"/>
            <w:gridCol w:w="3005"/>
            <w:gridCol w:w="3005"/>
            <w:gridCol w:w="3005"/>
            <w:gridCol w:w="303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-181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dowodzi, że alkohole, kwasy karboksylowe, estry i aminokwasy są pochodnymi węglowodorów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pierwiastki chemiczne wchodzące w skład pochodnych węglowodorów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grupy funkcyjne w alkoholach, kwasach karboksylowych, estrach, aminokwasach; podaje ich nazwy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 ogólne alkoholi, kwasów karboksylowych i estrów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dzieli alkohole na monohydroksylowe i polihydroksylowe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co to są nazwy zwyczajowe i nazwy systematyczne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resztę kwasową we wzorze kwasu karboksylowego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najważniejsze właściwości alkoholi oraz kwasów octowego i mrówkowego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dzieli kwasy karboksylowe na nasycone i nienasycone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najważniejsze kwasy tłuszczowe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mydła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zagrożenia związane z alkoholami (metanol, etanol)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najważniejsze zastosowania metanolu i etanolu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wśród poznanych substancji wskazuje te, które mają szkodliwy wpływ na organizm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występowania aminokwasów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nazwy i wzory omawianych grup funkcyjnych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stwierdzenie, że alkohole i kwasy karboksylowe tworzą szeregi homologiczne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odczyn roztworu alkoholu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spalania etanolu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kwasów organicznych występujących w przyrodzie (kwasy: mrówkowy, szczawiowy, cytrynowy)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nazwy prostych kwasów karboksylowych (do czterech atomów węgla w cząsteczce) i zapisuje ich wzory sumaryczne i strukturalne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właściwości kwasów karboksylowych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spalania i reakcji dysocjacji elektrolitycznej kwasów metanowego (mrówkowego) i etanowego (octowego)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kwasów metanowego (mrówkowego) i etanowego (octowego) z metalami, tlenkami metali i wodorotlenkami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soli pochodzących od kwasów metanowego (mrówkowego) i etanowego (octowego)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 sumaryczne kwasów: palmitynowego, stearynowego i oleinowego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estrów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nazwy estrów pochodzących od podanych nazw kwasów i alkoholi (proste przykłady)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negatywne skutki działania metanolu i etanolu na organizm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etanol ma odczyn obojętny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spalania alkoholi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zwyczajowe i systematyczne alkoholi i kwasów karboksylowych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niektóre wyższe kwasy karboksylowe nazywa się kwasami tłuszczowymi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właściwości kwasów karboksylowych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soli kwasów organicznych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miejsce występowania wiązania podwójnego w cząsteczce kwasu oleinowego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doświadczenie chemiczne umożliwiające odróżnienie kwasu oleinowego od kwasów palmitynowego lub stearynowego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podanych estrów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wzory, nazwy systematyczne i zwyczajowe estrów na podstawie nazw odpowiednich kwasów karboksylowych i alkoholi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wzór poznanego aminokwasu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właściwości omawianych związków chemicznych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bada niektóre właściwości fizyczne i chemiczne omawianych związków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przeprowadzone doświadczenia chemiczne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doświadczenia chemiczne (schemat, obserwacje, wniosek)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wzory podanych alkoholi i kwasów karboksylowych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chemicznych alkoholi, kwasów karboksylowych o wyższym stopniu trudności (np. więcej niż cztery atomów węgla w cząsteczce)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otrzymywania estru o podanej nazwie lub podanym wzorze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identyfikuje poznane substancje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szczegółowo przebieg reakcji estryfikacji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równania reakcji chemicznych w formach: cząsteczkowej, jonowej i skróconej jonowej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równanie kondensacji dwóch cząsteczek glicyny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102" w:right="0" w:hanging="1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 i prezentuje informacje na temat zastosowań glicerolu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informacje na temat zastosowań kwasów organicznych występujących w przyrodzie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informacje o właściwościach estrów w aspekcie ich zastosowań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Substancje o znaczeniu biologicznym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7" w:before="0" w:line="240" w:lineRule="auto"/>
        <w:ind w:left="-1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050.0" w:type="dxa"/>
        <w:jc w:val="center"/>
        <w:tblLayout w:type="fixed"/>
        <w:tblLook w:val="0000"/>
      </w:tblPr>
      <w:tblGrid>
        <w:gridCol w:w="3005"/>
        <w:gridCol w:w="3005"/>
        <w:gridCol w:w="3005"/>
        <w:gridCol w:w="3005"/>
        <w:gridCol w:w="3030"/>
        <w:tblGridChange w:id="0">
          <w:tblGrid>
            <w:gridCol w:w="3005"/>
            <w:gridCol w:w="3005"/>
            <w:gridCol w:w="3005"/>
            <w:gridCol w:w="3005"/>
            <w:gridCol w:w="3030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pierwiastki chemiczne, których atomy wchodzą w skład cząsteczek: tłuszczów, cukrów i białek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białka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jako związki chemiczne powstające z aminokwasów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denaturacja, koagulacja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czynniki powodujące denaturację białek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reakcje charakterystyczne białek i skrobi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wpływ oleju roślinnego na wodę bromową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jak można doświadczalnie odróżnić tłuszcze nienasycone od tłuszczów nasyconych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czynniki powodujące koagulację białek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wykrywa obecność skrobi i białka w produktach spożywczych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dlaczego olej roślinny odbarwia wodę bromową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peptydy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peptyzacja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wysalanie białek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różnice w przebiegu denaturacji i koagulacji białek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wiązanie peptydowe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i przeprowadza doświadczenie chemiczne umożliwiające odróżnienie tłuszczu nienasyconego od tłuszczu nasyconego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doświadczenia chemiczne umożliwiające wykrycie białka za pomocą stężonego roztworu kwasu azotowego(V)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doświadczenia chemiczne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1602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rojektuje i przeprowadza doświadczenia chemiczne umożliwiające wykrycie białka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wysalanie białek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identyfikuje poznane substancje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najważniejsze właściwości omawianych związków chemicznych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40" w:lineRule="auto"/>
              <w:ind w:left="-15" w:right="6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wyszukuje, porządkuje, porównuje i prezentuje informacje o budowie tłuszczów, białek, cukrów, ich klasyfikacji pod względem pochodzenia, stanu skupienia i charakteru chemicznego oraz o wybranych właściwościach fizycznych, znaczeniu i zastosowaniu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center" w:leader="none" w:pos="142"/>
                <w:tab w:val="center" w:leader="none" w:pos="1602"/>
              </w:tabs>
              <w:spacing w:after="0" w:before="0" w:line="240" w:lineRule="auto"/>
              <w:ind w:left="142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</w:t>
      </w:r>
      <w:r w:rsidDel="00000000" w:rsidR="00000000" w:rsidRPr="00000000">
        <w:rPr>
          <w:b w:val="1"/>
          <w:sz w:val="24"/>
          <w:szCs w:val="24"/>
          <w:rtl w:val="0"/>
        </w:rPr>
        <w:t xml:space="preserve">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gni</w:t>
      </w:r>
      <w:r w:rsidDel="00000000" w:rsidR="00000000" w:rsidRPr="00000000">
        <w:rPr>
          <w:b w:val="1"/>
          <w:sz w:val="24"/>
          <w:szCs w:val="24"/>
          <w:rtl w:val="0"/>
        </w:rPr>
        <w:t xml:space="preserve">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cia uczniów oceniane są w formie: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- kartkówek: z każdego działu po 3 kartkówki</w:t>
        <w:br w:type="textWrapping"/>
        <w:t xml:space="preserve">- sprawdzianów - po każdym dziale, w sumie 5</w:t>
        <w:br w:type="textWrapping"/>
        <w:t xml:space="preserve">- systematycznie w formie odpowiedzi ustnych na zajęciach</w:t>
        <w:br w:type="textWrapping"/>
        <w:t xml:space="preserve">- konkursów, projektów czy pracy na lekcji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134" w:top="1134" w:left="1134" w:right="1134" w:header="72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−"/>
      <w:lvlJc w:val="left"/>
      <w:pPr>
        <w:ind w:left="746" w:hanging="360.00000000000006"/>
      </w:pPr>
      <w:rPr>
        <w:rFonts w:ascii="Noto Sans Symbols" w:cs="Noto Sans Symbols" w:eastAsia="Noto Sans Symbols" w:hAnsi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Domyślnie">
    <w:name w:val="Domyślnie"/>
    <w:next w:val="Domyślni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Nagłówek1">
    <w:name w:val="Nagłówek 1"/>
    <w:basedOn w:val="Domyślnie"/>
    <w:next w:val="Domyślnie"/>
    <w:autoRedefine w:val="0"/>
    <w:hidden w:val="0"/>
    <w:qFormat w:val="0"/>
    <w:pPr>
      <w:keepNext w:val="1"/>
      <w:widowControl w:val="1"/>
      <w:numPr>
        <w:ilvl w:val="0"/>
        <w:numId w:val="1"/>
      </w:numPr>
      <w:tabs>
        <w:tab w:val="left" w:leader="none" w:pos="432"/>
      </w:tabs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auto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pl-PL"/>
    </w:rPr>
  </w:style>
  <w:style w:type="paragraph" w:styleId="Nagłówek2">
    <w:name w:val="Nagłówek 2"/>
    <w:basedOn w:val="Domyślnie"/>
    <w:next w:val="Domyślnie"/>
    <w:autoRedefine w:val="0"/>
    <w:hidden w:val="0"/>
    <w:qFormat w:val="0"/>
    <w:pPr>
      <w:keepNext w:val="1"/>
      <w:widowControl w:val="1"/>
      <w:numPr>
        <w:ilvl w:val="1"/>
        <w:numId w:val="1"/>
      </w:numPr>
      <w:tabs>
        <w:tab w:val="left" w:leader="none" w:pos="576"/>
      </w:tabs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eastAsia="Calibri" w:hAnsi="Symbo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eastAsia="Calibri" w:hAnsi="Symbo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eastAsia="Calibri" w:hAnsi="Symbo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eastAsia="Calibri" w:hAnsi="Symbol" w:hint="default"/>
      <w:spacing w:val="1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eastAsia="Calibri" w:hAnsi="Symbol" w:hint="default"/>
      <w:color w:val="000000"/>
      <w:spacing w:val="-3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eastAsia="Calibri" w:hAnsi="Symbo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eastAsia="Calibri" w:hAnsi="Symbol" w:hint="default"/>
      <w:color w:val="000000"/>
      <w:spacing w:val="1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eastAsia="Calibri" w:hAnsi="Symbol" w:hint="default"/>
      <w:spacing w:val="1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eastAsia="Calibri" w:hAnsi="Symbol" w:hint="default"/>
      <w:color w:val="000000"/>
      <w:spacing w:val="-4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cs="Symbol" w:eastAsia="Calibri" w:hAnsi="Symbol" w:hint="defaul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cs="Symbol" w:eastAsia="Calibri" w:hAnsi="Symbo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WW8Num19z0">
    <w:name w:val="WW8Num19z0"/>
    <w:next w:val="WW8Num19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stron">
    <w:name w:val="Numer stron"/>
    <w:basedOn w:val="Domyślnaczcionkaakapitu"/>
    <w:next w:val="Numerstr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cs="Symbol" w:eastAsia="Calibri" w:hAnsi="Symbo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WW8Num26z1">
    <w:name w:val="WW8Num26z1"/>
    <w:next w:val="WW8Num2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cs="Symbol" w:eastAsia="Calibri" w:hAnsi="Symbol" w:hint="default"/>
      <w:spacing w:val="1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WW8Num27z1">
    <w:name w:val="WW8Num27z1"/>
    <w:next w:val="WW8Num2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cs="Symbol" w:eastAsia="Calibri" w:hAnsi="Symbol" w:hint="default"/>
      <w:spacing w:val="-4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WW8Num30z1">
    <w:name w:val="WW8Num30z1"/>
    <w:next w:val="WW8Num3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cs="Symbol" w:hAnsi="Symbol" w:hint="default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Symbol" w:cs="Symbol" w:eastAsia="Calibri" w:hAnsi="Symbol" w:hint="default"/>
      <w:color w:val="000000"/>
      <w:spacing w:val="-6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WW8Num33z1">
    <w:name w:val="WW8Num33z1"/>
    <w:next w:val="WW8Num3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34z1">
    <w:name w:val="WW8Num34z1"/>
    <w:next w:val="WW8Num3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NagłówekZnak1">
    <w:name w:val="Nagłówek Znak1"/>
    <w:next w:val="NagłówekZnak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komentarzaZnak">
    <w:name w:val="Tekst komentarza Znak"/>
    <w:basedOn w:val="Domyślnaczcionkaakapitu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fontstyle01">
    <w:name w:val="fontstyle01"/>
    <w:next w:val="fontstyle01"/>
    <w:autoRedefine w:val="0"/>
    <w:hidden w:val="0"/>
    <w:qFormat w:val="0"/>
    <w:rPr>
      <w:rFonts w:ascii="Times New Roman" w:cs="Times New Roman" w:hAnsi="Times New Roman" w:hint="default"/>
      <w:b w:val="0"/>
      <w:bCs w:val="0"/>
      <w:i w:val="0"/>
      <w:iCs w:val="0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ui-provider">
    <w:name w:val="ui-provider"/>
    <w:next w:val="ui-provid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Domyślnie"/>
    <w:next w:val="Treśćteks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color w:val="auto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Treśćtekstu">
    <w:name w:val="Treść tekstu"/>
    <w:basedOn w:val="Domyślnie"/>
    <w:next w:val="Treśćtekstu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spacing w:val="-2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Lista">
    <w:name w:val="Lista"/>
    <w:basedOn w:val="Treśćtekstu"/>
    <w:next w:val="Lista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color w:val="000000"/>
      <w:spacing w:val="-2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Podpis">
    <w:name w:val="Podpis"/>
    <w:basedOn w:val="Domyślnie"/>
    <w:next w:val="Podpis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Indeks">
    <w:name w:val="Indeks"/>
    <w:basedOn w:val="Domyślnie"/>
    <w:next w:val="Indek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Wcięcietekstu">
    <w:name w:val="Wcięcie tekstu"/>
    <w:basedOn w:val="Domyślnie"/>
    <w:next w:val="Wcięcietekstu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line="1" w:lineRule="atLeast"/>
      <w:ind w:left="113" w:right="0" w:leftChars="-1" w:rightChars="0" w:hanging="113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Stopka">
    <w:name w:val="Stopka"/>
    <w:basedOn w:val="Domyślnie"/>
    <w:next w:val="Stopka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Nagłówekstrony">
    <w:name w:val="Nagłówek strony"/>
    <w:basedOn w:val="Domyślnie"/>
    <w:next w:val="Nagłówekstrony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Tekstpodstawowywcięty2">
    <w:name w:val="Tekst podstawowy wcięty 2"/>
    <w:basedOn w:val="Domyślnie"/>
    <w:next w:val="Tekstpodstawowywcięty2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line="1" w:lineRule="atLeast"/>
      <w:ind w:left="113" w:right="0" w:leftChars="-1" w:rightChars="0" w:hanging="113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auto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ekstpodstawowywcięty3">
    <w:name w:val="Tekst podstawowy wcięty 3"/>
    <w:basedOn w:val="Domyślnie"/>
    <w:next w:val="Tekstpodstawowywcięty3"/>
    <w:autoRedefine w:val="0"/>
    <w:hidden w:val="0"/>
    <w:qFormat w:val="0"/>
    <w:pPr>
      <w:widowControl w:val="1"/>
      <w:shd w:color="auto" w:fill="ffffff" w:val="clear"/>
      <w:suppressAutoHyphens w:val="0"/>
      <w:bidi w:val="0"/>
      <w:spacing w:line="1" w:lineRule="atLeast"/>
      <w:ind w:left="113" w:right="0" w:leftChars="-1" w:rightChars="0" w:hanging="113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spacing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ekstdymka">
    <w:name w:val="Tekst dymka"/>
    <w:basedOn w:val="Domyślnie"/>
    <w:next w:val="Tekstdymk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color w:val="auto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l-PL"/>
    </w:rPr>
  </w:style>
  <w:style w:type="paragraph" w:styleId="Tekstkomentarza">
    <w:name w:val="Tekst komentarza"/>
    <w:basedOn w:val="Domyślnie"/>
    <w:next w:val="Tekstkomentarz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auto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Poprawka">
    <w:name w:val="Poprawka"/>
    <w:next w:val="Poprawka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StopkaCopyright">
    <w:name w:val="Stopka Copyright"/>
    <w:basedOn w:val="Domyślnie"/>
    <w:next w:val="StopkaCopyrigh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Roboto" w:cs="Roboto" w:eastAsia="Calibri" w:hAnsi="Roboto"/>
      <w:iCs w:val="1"/>
      <w:color w:val="000000"/>
      <w:w w:val="100"/>
      <w:position w:val="-1"/>
      <w:sz w:val="16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Zawartośćtabeli">
    <w:name w:val="Zawartość tabeli"/>
    <w:basedOn w:val="Domyślnie"/>
    <w:next w:val="Zawartośćtabeli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qjp3YhQh6DaoPN48ivi/QXLDbA==">CgMxLjA4AHIhMXV0ZFJRN182NTBEbE42WFZKNF9sRXBjcWhNYXZHLUFj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2024-08-07T09:03:00Z</dcterms:created>
  <dc:creator>szcze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0x010100ADDD5553E479A24D9A87FC7F8DF25BCC</vt:lpstr>
  </property>
  <property fmtid="{D5CDD505-2E9C-101B-9397-08002B2CF9AE}" pid="3" name="ICV">
    <vt:lpstr>EAB9C4E2E4B04B078FEEEC71E72A7316</vt:lpstr>
  </property>
  <property fmtid="{D5CDD505-2E9C-101B-9397-08002B2CF9AE}" pid="4" name="KSOProductBuildVer">
    <vt:lpstr>1033-11.2.0.11225</vt:lpstr>
  </property>
</Properties>
</file>